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A30" w:rsidRPr="00CD0A30" w:rsidRDefault="00CD0A30" w:rsidP="00CD0A30">
      <w:pPr>
        <w:spacing w:after="0" w:line="240" w:lineRule="auto"/>
        <w:ind w:right="-91"/>
        <w:jc w:val="both"/>
        <w:rPr>
          <w:rFonts w:ascii="Arial" w:eastAsia="Times New Roman" w:hAnsi="Arial" w:cs="Arial"/>
          <w:b/>
          <w:lang w:val="es-ES" w:eastAsia="es-ES"/>
        </w:rPr>
      </w:pPr>
      <w:r w:rsidRPr="00CD0A30">
        <w:rPr>
          <w:rFonts w:ascii="Arial" w:eastAsia="Times New Roman" w:hAnsi="Arial" w:cs="Arial"/>
          <w:b/>
          <w:lang w:eastAsia="es-ES"/>
        </w:rPr>
        <w:t xml:space="preserve">EP. 83.- </w:t>
      </w:r>
      <w:r w:rsidRPr="00CD0A30">
        <w:rPr>
          <w:rFonts w:ascii="Arial" w:eastAsia="Times New Roman" w:hAnsi="Arial" w:cs="Arial"/>
          <w:b/>
          <w:caps/>
          <w:lang w:eastAsia="es-ES"/>
        </w:rPr>
        <w:t>Bajante pluvial en estación elevada.</w:t>
      </w:r>
    </w:p>
    <w:p w:rsidR="00CD0A30" w:rsidRPr="00CD0A30" w:rsidRDefault="00CD0A30" w:rsidP="00CD0A30">
      <w:pPr>
        <w:spacing w:after="0" w:line="240" w:lineRule="auto"/>
        <w:ind w:right="-91"/>
        <w:jc w:val="both"/>
        <w:rPr>
          <w:rFonts w:ascii="Arial" w:eastAsia="Times New Roman" w:hAnsi="Arial" w:cs="Arial"/>
          <w:b/>
          <w:lang w:val="es-ES" w:eastAsia="es-ES"/>
        </w:rPr>
      </w:pPr>
    </w:p>
    <w:p w:rsidR="00CD0A30" w:rsidRPr="00CD0A30" w:rsidRDefault="00CD0A30" w:rsidP="00CD0A30">
      <w:pPr>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 xml:space="preserve">Suministro, instalación y pruebas de tubería de polietileno HDPE de diámetros desde 3 a 6" de Marca </w:t>
      </w:r>
      <w:proofErr w:type="spellStart"/>
      <w:r w:rsidRPr="00CD0A30">
        <w:rPr>
          <w:rFonts w:ascii="Arial" w:eastAsia="Times New Roman" w:hAnsi="Arial" w:cs="Arial"/>
          <w:lang w:val="es-ES" w:eastAsia="es-ES"/>
        </w:rPr>
        <w:t>Geberit</w:t>
      </w:r>
      <w:proofErr w:type="spellEnd"/>
      <w:r w:rsidRPr="00CD0A30">
        <w:rPr>
          <w:rFonts w:ascii="Arial" w:eastAsia="Times New Roman" w:hAnsi="Arial" w:cs="Arial"/>
          <w:lang w:val="es-ES" w:eastAsia="es-ES"/>
        </w:rPr>
        <w:t xml:space="preserve"> o similar, para fluidos a presión,  para bajantes pluviales en columnas de estación en viaducto con un desarrollo promedio de 35 mts. EL concepto incluye: accesorios diversos, codos, </w:t>
      </w:r>
      <w:proofErr w:type="spellStart"/>
      <w:r w:rsidRPr="00CD0A30">
        <w:rPr>
          <w:rFonts w:ascii="Arial" w:eastAsia="Times New Roman" w:hAnsi="Arial" w:cs="Arial"/>
          <w:lang w:val="es-ES" w:eastAsia="es-ES"/>
        </w:rPr>
        <w:t>tees</w:t>
      </w:r>
      <w:proofErr w:type="spellEnd"/>
      <w:r w:rsidRPr="00CD0A30">
        <w:rPr>
          <w:rFonts w:ascii="Arial" w:eastAsia="Times New Roman" w:hAnsi="Arial" w:cs="Arial"/>
          <w:lang w:val="es-ES" w:eastAsia="es-ES"/>
        </w:rPr>
        <w:t xml:space="preserve">, </w:t>
      </w:r>
      <w:proofErr w:type="spellStart"/>
      <w:r w:rsidRPr="00CD0A30">
        <w:rPr>
          <w:rFonts w:ascii="Arial" w:eastAsia="Times New Roman" w:hAnsi="Arial" w:cs="Arial"/>
          <w:lang w:val="es-ES" w:eastAsia="es-ES"/>
        </w:rPr>
        <w:t>yees</w:t>
      </w:r>
      <w:proofErr w:type="spellEnd"/>
      <w:r w:rsidRPr="00CD0A30">
        <w:rPr>
          <w:rFonts w:ascii="Arial" w:eastAsia="Times New Roman" w:hAnsi="Arial" w:cs="Arial"/>
          <w:lang w:val="es-ES" w:eastAsia="es-ES"/>
        </w:rPr>
        <w:t xml:space="preserve">, </w:t>
      </w:r>
      <w:r w:rsidR="008523FA" w:rsidRPr="00CD0A30">
        <w:rPr>
          <w:rFonts w:ascii="Arial" w:eastAsia="Times New Roman" w:hAnsi="Arial" w:cs="Arial"/>
          <w:lang w:val="es-ES" w:eastAsia="es-ES"/>
        </w:rPr>
        <w:t>tapón</w:t>
      </w:r>
      <w:r w:rsidRPr="00CD0A30">
        <w:rPr>
          <w:rFonts w:ascii="Arial" w:eastAsia="Times New Roman" w:hAnsi="Arial" w:cs="Arial"/>
          <w:lang w:val="es-ES" w:eastAsia="es-ES"/>
        </w:rPr>
        <w:t xml:space="preserve"> roscado, coples</w:t>
      </w:r>
      <w:bookmarkStart w:id="0" w:name="_GoBack"/>
      <w:bookmarkEnd w:id="0"/>
      <w:r w:rsidRPr="00CD0A30">
        <w:rPr>
          <w:rFonts w:ascii="Arial" w:eastAsia="Times New Roman" w:hAnsi="Arial" w:cs="Arial"/>
          <w:lang w:val="es-ES" w:eastAsia="es-ES"/>
        </w:rPr>
        <w:t>, conectores, reducciones, elementos de fijación, abrazaderas, materiales diversos. Se contemplará un desarrollo desde el sumidero a nivel de viaducto hasta el remate a nivel de calle en ducto municipal o registro pluvial a nivel de calle.</w:t>
      </w:r>
    </w:p>
    <w:p w:rsidR="00CD0A30" w:rsidRPr="00CD0A30" w:rsidRDefault="00CD0A30" w:rsidP="00CD0A30">
      <w:pPr>
        <w:spacing w:after="0" w:line="240" w:lineRule="auto"/>
        <w:ind w:right="-91"/>
        <w:jc w:val="both"/>
        <w:rPr>
          <w:rFonts w:ascii="Arial" w:eastAsia="Times New Roman" w:hAnsi="Arial" w:cs="Arial"/>
          <w:lang w:val="es-ES" w:eastAsia="es-ES"/>
        </w:rPr>
      </w:pPr>
    </w:p>
    <w:p w:rsidR="00CD0A30" w:rsidRPr="00CD0A30" w:rsidRDefault="00CD0A30" w:rsidP="00CD0A30">
      <w:pPr>
        <w:keepNext/>
        <w:suppressAutoHyphens/>
        <w:spacing w:after="120" w:line="360" w:lineRule="auto"/>
        <w:ind w:right="-91"/>
        <w:jc w:val="both"/>
        <w:outlineLvl w:val="2"/>
        <w:rPr>
          <w:rFonts w:ascii="Arial" w:eastAsia="Times New Roman" w:hAnsi="Arial" w:cs="Arial"/>
          <w:b/>
          <w:spacing w:val="-3"/>
          <w:lang w:val="es-ES" w:eastAsia="es-ES"/>
        </w:rPr>
      </w:pPr>
      <w:bookmarkStart w:id="1" w:name="_Toc368189863"/>
      <w:r w:rsidRPr="00CD0A30">
        <w:rPr>
          <w:rFonts w:ascii="Arial" w:eastAsia="Times New Roman" w:hAnsi="Arial" w:cs="Arial"/>
          <w:b/>
          <w:spacing w:val="-3"/>
          <w:lang w:val="es-ES" w:eastAsia="es-ES"/>
        </w:rPr>
        <w:t>CARACTERÍSTICAS TÉCNICAS</w:t>
      </w:r>
      <w:bookmarkEnd w:id="1"/>
    </w:p>
    <w:p w:rsidR="00CD0A30" w:rsidRPr="00CD0A30" w:rsidRDefault="00CD0A30" w:rsidP="00CD0A30">
      <w:pPr>
        <w:keepNext/>
        <w:suppressAutoHyphens/>
        <w:spacing w:after="120" w:line="360" w:lineRule="auto"/>
        <w:ind w:right="-91"/>
        <w:jc w:val="both"/>
        <w:outlineLvl w:val="2"/>
        <w:rPr>
          <w:rFonts w:ascii="Arial" w:eastAsia="Times New Roman" w:hAnsi="Arial" w:cs="Arial"/>
          <w:spacing w:val="-1"/>
          <w:lang w:val="es-ES" w:eastAsia="es-ES"/>
        </w:rPr>
      </w:pPr>
      <w:bookmarkStart w:id="2" w:name="_Toc368189864"/>
      <w:r w:rsidRPr="00CD0A30">
        <w:rPr>
          <w:rFonts w:ascii="Arial" w:eastAsia="Times New Roman" w:hAnsi="Arial" w:cs="Arial"/>
          <w:spacing w:val="-1"/>
          <w:lang w:val="es-ES" w:eastAsia="es-ES"/>
        </w:rPr>
        <w:t>Base de selección.</w:t>
      </w:r>
      <w:bookmarkEnd w:id="2"/>
    </w:p>
    <w:p w:rsidR="00CD0A30" w:rsidRPr="00CD0A30" w:rsidRDefault="00CD0A30" w:rsidP="00CD0A30">
      <w:pPr>
        <w:autoSpaceDE w:val="0"/>
        <w:autoSpaceDN w:val="0"/>
        <w:adjustRightInd w:val="0"/>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El material de éste debe ser:</w:t>
      </w:r>
    </w:p>
    <w:p w:rsidR="00CD0A30" w:rsidRPr="00CD0A30" w:rsidRDefault="00CD0A30" w:rsidP="00CD0A30">
      <w:pPr>
        <w:autoSpaceDE w:val="0"/>
        <w:autoSpaceDN w:val="0"/>
        <w:adjustRightInd w:val="0"/>
        <w:spacing w:after="0" w:line="240" w:lineRule="auto"/>
        <w:ind w:right="-91"/>
        <w:jc w:val="both"/>
        <w:rPr>
          <w:rFonts w:ascii="Arial" w:eastAsia="Times New Roman" w:hAnsi="Arial" w:cs="Arial"/>
          <w:lang w:val="es-ES" w:eastAsia="es-ES"/>
        </w:rPr>
      </w:pPr>
    </w:p>
    <w:p w:rsidR="00CD0A30" w:rsidRPr="00CD0A30" w:rsidRDefault="00CD0A30" w:rsidP="006C56E8">
      <w:pPr>
        <w:numPr>
          <w:ilvl w:val="0"/>
          <w:numId w:val="3"/>
        </w:numPr>
        <w:autoSpaceDE w:val="0"/>
        <w:autoSpaceDN w:val="0"/>
        <w:adjustRightInd w:val="0"/>
        <w:spacing w:after="0" w:line="36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Robusto, capaz de resistir las presiones que se producen en el sistema.</w:t>
      </w:r>
    </w:p>
    <w:p w:rsidR="00CD0A30" w:rsidRPr="00CD0A30" w:rsidRDefault="00CD0A30" w:rsidP="006C56E8">
      <w:pPr>
        <w:numPr>
          <w:ilvl w:val="0"/>
          <w:numId w:val="3"/>
        </w:numPr>
        <w:autoSpaceDE w:val="0"/>
        <w:autoSpaceDN w:val="0"/>
        <w:adjustRightInd w:val="0"/>
        <w:spacing w:after="0" w:line="36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Flexible (no rígido) para así adaptarse a los movimientos de dilatación que sufre el material con los cambios de temperatura.</w:t>
      </w:r>
    </w:p>
    <w:p w:rsidR="00CD0A30" w:rsidRPr="00CD0A30" w:rsidRDefault="00CD0A30" w:rsidP="006C56E8">
      <w:pPr>
        <w:numPr>
          <w:ilvl w:val="0"/>
          <w:numId w:val="3"/>
        </w:numPr>
        <w:autoSpaceDE w:val="0"/>
        <w:autoSpaceDN w:val="0"/>
        <w:adjustRightInd w:val="0"/>
        <w:spacing w:after="0" w:line="36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Resistente a impactos.</w:t>
      </w:r>
    </w:p>
    <w:p w:rsidR="00CD0A30" w:rsidRPr="00CD0A30" w:rsidRDefault="00CD0A30" w:rsidP="006C56E8">
      <w:pPr>
        <w:numPr>
          <w:ilvl w:val="0"/>
          <w:numId w:val="3"/>
        </w:numPr>
        <w:autoSpaceDE w:val="0"/>
        <w:autoSpaceDN w:val="0"/>
        <w:adjustRightInd w:val="0"/>
        <w:spacing w:after="0" w:line="36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Con un sistema de unión de tuberías eficaz que garantice la estanqueidad.</w:t>
      </w:r>
    </w:p>
    <w:p w:rsidR="00CD0A30" w:rsidRPr="00CD0A30" w:rsidRDefault="00CD0A30" w:rsidP="00CD0A30">
      <w:pPr>
        <w:autoSpaceDE w:val="0"/>
        <w:autoSpaceDN w:val="0"/>
        <w:adjustRightInd w:val="0"/>
        <w:spacing w:after="0" w:line="240" w:lineRule="auto"/>
        <w:ind w:right="-91"/>
        <w:jc w:val="both"/>
        <w:rPr>
          <w:rFonts w:ascii="Arial" w:eastAsia="Times New Roman" w:hAnsi="Arial" w:cs="Arial"/>
          <w:lang w:val="es-ES" w:eastAsia="es-ES"/>
        </w:rPr>
      </w:pPr>
    </w:p>
    <w:p w:rsidR="00CD0A30" w:rsidRPr="00CD0A30" w:rsidRDefault="00CD0A30" w:rsidP="00CD0A30">
      <w:pPr>
        <w:autoSpaceDE w:val="0"/>
        <w:autoSpaceDN w:val="0"/>
        <w:adjustRightInd w:val="0"/>
        <w:spacing w:after="0" w:line="240" w:lineRule="auto"/>
        <w:ind w:right="-91"/>
        <w:jc w:val="both"/>
        <w:rPr>
          <w:rFonts w:ascii="Arial" w:eastAsia="Times New Roman" w:hAnsi="Arial" w:cs="Arial"/>
          <w:lang w:val="es-ES" w:eastAsia="es-ES"/>
        </w:rPr>
      </w:pPr>
    </w:p>
    <w:p w:rsidR="00CD0A30" w:rsidRPr="00CD0A30" w:rsidRDefault="00CD0A30" w:rsidP="00CD0A30">
      <w:pPr>
        <w:autoSpaceDE w:val="0"/>
        <w:autoSpaceDN w:val="0"/>
        <w:adjustRightInd w:val="0"/>
        <w:spacing w:after="0" w:line="240" w:lineRule="auto"/>
        <w:ind w:right="-91"/>
        <w:jc w:val="both"/>
        <w:rPr>
          <w:rFonts w:ascii="Arial" w:eastAsia="Times New Roman" w:hAnsi="Arial" w:cs="Arial"/>
          <w:lang w:val="es-ES" w:eastAsia="es-ES"/>
        </w:rPr>
      </w:pPr>
    </w:p>
    <w:p w:rsidR="00CD0A30" w:rsidRPr="00CD0A30" w:rsidRDefault="00CD0A30" w:rsidP="00CD0A30">
      <w:pPr>
        <w:autoSpaceDE w:val="0"/>
        <w:autoSpaceDN w:val="0"/>
        <w:adjustRightInd w:val="0"/>
        <w:spacing w:after="0" w:line="240" w:lineRule="auto"/>
        <w:ind w:right="-91"/>
        <w:jc w:val="both"/>
        <w:rPr>
          <w:rFonts w:ascii="Arial" w:eastAsia="Times New Roman" w:hAnsi="Arial" w:cs="Arial"/>
          <w:lang w:val="es-ES" w:eastAsia="es-ES"/>
        </w:rPr>
      </w:pPr>
    </w:p>
    <w:p w:rsidR="00CD0A30" w:rsidRPr="00CD0A30" w:rsidRDefault="00CD0A30" w:rsidP="00CD0A30">
      <w:pPr>
        <w:autoSpaceDE w:val="0"/>
        <w:autoSpaceDN w:val="0"/>
        <w:adjustRightInd w:val="0"/>
        <w:spacing w:after="0" w:line="240" w:lineRule="auto"/>
        <w:ind w:right="-91"/>
        <w:jc w:val="both"/>
        <w:rPr>
          <w:rFonts w:ascii="Arial" w:eastAsia="Times New Roman" w:hAnsi="Arial" w:cs="Arial"/>
          <w:lang w:val="es-ES" w:eastAsia="es-ES"/>
        </w:rPr>
      </w:pPr>
    </w:p>
    <w:p w:rsidR="00CD0A30" w:rsidRPr="00CD0A30" w:rsidRDefault="00CD0A30" w:rsidP="00CD0A30">
      <w:pPr>
        <w:autoSpaceDE w:val="0"/>
        <w:autoSpaceDN w:val="0"/>
        <w:adjustRightInd w:val="0"/>
        <w:spacing w:after="0" w:line="240" w:lineRule="auto"/>
        <w:ind w:right="-91"/>
        <w:jc w:val="both"/>
        <w:rPr>
          <w:rFonts w:ascii="Arial" w:eastAsia="Times New Roman" w:hAnsi="Arial" w:cs="Arial"/>
          <w:lang w:val="es-ES" w:eastAsia="es-ES"/>
        </w:rPr>
      </w:pPr>
    </w:p>
    <w:p w:rsidR="00CD0A30" w:rsidRPr="00CD0A30" w:rsidRDefault="00CD0A30" w:rsidP="00CD0A30">
      <w:pPr>
        <w:autoSpaceDE w:val="0"/>
        <w:autoSpaceDN w:val="0"/>
        <w:adjustRightInd w:val="0"/>
        <w:spacing w:after="0" w:line="240" w:lineRule="auto"/>
        <w:ind w:right="-91"/>
        <w:jc w:val="both"/>
        <w:rPr>
          <w:rFonts w:ascii="Arial" w:eastAsia="Times New Roman" w:hAnsi="Arial" w:cs="Arial"/>
          <w:lang w:val="es-ES" w:eastAsia="es-ES"/>
        </w:rPr>
      </w:pPr>
    </w:p>
    <w:p w:rsidR="00CD0A30" w:rsidRPr="00CD0A30" w:rsidRDefault="00CD0A30" w:rsidP="00CD0A30">
      <w:pPr>
        <w:autoSpaceDE w:val="0"/>
        <w:autoSpaceDN w:val="0"/>
        <w:adjustRightInd w:val="0"/>
        <w:spacing w:after="0" w:line="240" w:lineRule="auto"/>
        <w:ind w:right="-91"/>
        <w:jc w:val="both"/>
        <w:rPr>
          <w:rFonts w:ascii="Arial" w:eastAsia="Times New Roman" w:hAnsi="Arial" w:cs="Arial"/>
          <w:lang w:val="es-ES" w:eastAsia="es-ES"/>
        </w:rPr>
      </w:pPr>
    </w:p>
    <w:p w:rsidR="00CD0A30" w:rsidRPr="00CD0A30" w:rsidRDefault="00CD0A30" w:rsidP="00CD0A30">
      <w:pPr>
        <w:autoSpaceDE w:val="0"/>
        <w:autoSpaceDN w:val="0"/>
        <w:adjustRightInd w:val="0"/>
        <w:spacing w:after="0" w:line="240" w:lineRule="auto"/>
        <w:ind w:left="-567" w:right="-91"/>
        <w:jc w:val="both"/>
        <w:rPr>
          <w:rFonts w:ascii="Arial" w:eastAsia="Times New Roman" w:hAnsi="Arial" w:cs="Arial"/>
          <w:lang w:val="es-ES" w:eastAsia="es-ES"/>
        </w:rPr>
      </w:pPr>
      <w:r w:rsidRPr="00CD0A30">
        <w:rPr>
          <w:rFonts w:ascii="Arial" w:eastAsia="Times New Roman" w:hAnsi="Arial" w:cs="Arial"/>
          <w:noProof/>
        </w:rPr>
        <w:lastRenderedPageBreak/>
        <w:drawing>
          <wp:inline distT="0" distB="0" distL="0" distR="0" wp14:anchorId="1E513287" wp14:editId="2C0C3525">
            <wp:extent cx="6124575" cy="6972300"/>
            <wp:effectExtent l="0" t="0" r="9525" b="0"/>
            <wp:docPr id="64"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srcRect/>
                    <a:stretch>
                      <a:fillRect/>
                    </a:stretch>
                  </pic:blipFill>
                  <pic:spPr bwMode="auto">
                    <a:xfrm>
                      <a:off x="0" y="0"/>
                      <a:ext cx="6130796" cy="6979382"/>
                    </a:xfrm>
                    <a:prstGeom prst="rect">
                      <a:avLst/>
                    </a:prstGeom>
                    <a:noFill/>
                    <a:ln w="9525">
                      <a:noFill/>
                      <a:miter lim="800000"/>
                      <a:headEnd/>
                      <a:tailEnd/>
                    </a:ln>
                  </pic:spPr>
                </pic:pic>
              </a:graphicData>
            </a:graphic>
          </wp:inline>
        </w:drawing>
      </w:r>
    </w:p>
    <w:p w:rsidR="00CD0A30" w:rsidRPr="00CD0A30" w:rsidRDefault="00CD0A30" w:rsidP="00CD0A30">
      <w:pPr>
        <w:autoSpaceDE w:val="0"/>
        <w:autoSpaceDN w:val="0"/>
        <w:adjustRightInd w:val="0"/>
        <w:spacing w:after="0" w:line="240" w:lineRule="auto"/>
        <w:ind w:right="-91"/>
        <w:jc w:val="both"/>
        <w:rPr>
          <w:rFonts w:ascii="Arial" w:eastAsia="Times New Roman" w:hAnsi="Arial" w:cs="Arial"/>
          <w:lang w:val="es-ES" w:eastAsia="es-ES"/>
        </w:rPr>
      </w:pPr>
    </w:p>
    <w:p w:rsidR="00CD0A30" w:rsidRPr="00CD0A30" w:rsidRDefault="00CD0A30" w:rsidP="00CD0A30">
      <w:pPr>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lastRenderedPageBreak/>
        <w:t>Cualquier material diferente a seleccionar deberá ser homologado bajo las características técnicas a las contempladas en el proyecto ejecutivo y en base a lo indicado en esta especificación técnica. La homologación contemplará las características de calidad, funcionalidad y  elementos técnicos</w:t>
      </w:r>
    </w:p>
    <w:p w:rsidR="00CD0A30" w:rsidRPr="00CD0A30" w:rsidRDefault="00CD0A30" w:rsidP="00CD0A30">
      <w:pPr>
        <w:spacing w:after="0" w:line="240" w:lineRule="auto"/>
        <w:ind w:right="-91"/>
        <w:jc w:val="both"/>
        <w:rPr>
          <w:rFonts w:ascii="Arial" w:eastAsia="Times New Roman" w:hAnsi="Arial" w:cs="Arial"/>
          <w:lang w:val="es-ES" w:eastAsia="es-ES"/>
        </w:rPr>
      </w:pPr>
    </w:p>
    <w:p w:rsidR="00CD0A30" w:rsidRPr="00CD0A30" w:rsidRDefault="00CD0A30" w:rsidP="00CD0A30">
      <w:pPr>
        <w:spacing w:after="0" w:line="240" w:lineRule="auto"/>
        <w:ind w:right="-91"/>
        <w:jc w:val="both"/>
        <w:rPr>
          <w:rFonts w:ascii="Arial" w:eastAsia="Times New Roman" w:hAnsi="Arial" w:cs="Arial"/>
          <w:lang w:val="es-ES" w:eastAsia="es-ES"/>
        </w:rPr>
      </w:pPr>
    </w:p>
    <w:p w:rsidR="00CD0A30" w:rsidRPr="00CD0A30" w:rsidRDefault="00CD0A30" w:rsidP="00CD0A30">
      <w:pPr>
        <w:keepNext/>
        <w:suppressAutoHyphens/>
        <w:spacing w:after="120" w:line="360" w:lineRule="auto"/>
        <w:ind w:right="-91"/>
        <w:jc w:val="both"/>
        <w:outlineLvl w:val="2"/>
        <w:rPr>
          <w:rFonts w:ascii="Arial" w:eastAsia="Times New Roman" w:hAnsi="Arial" w:cs="Arial"/>
          <w:b/>
          <w:spacing w:val="-3"/>
          <w:lang w:val="es-ES" w:eastAsia="es-ES"/>
        </w:rPr>
      </w:pPr>
      <w:bookmarkStart w:id="3" w:name="_Toc368189865"/>
      <w:r w:rsidRPr="00CD0A30">
        <w:rPr>
          <w:rFonts w:ascii="Arial" w:eastAsia="Times New Roman" w:hAnsi="Arial" w:cs="Arial"/>
          <w:b/>
          <w:spacing w:val="-3"/>
          <w:lang w:val="es-ES" w:eastAsia="es-ES"/>
        </w:rPr>
        <w:t>EJECUCIÓN DE OBRA</w:t>
      </w:r>
      <w:bookmarkEnd w:id="3"/>
    </w:p>
    <w:p w:rsidR="00CD0A30" w:rsidRDefault="00CD0A30" w:rsidP="00CD0A30">
      <w:pPr>
        <w:spacing w:after="0" w:line="240" w:lineRule="auto"/>
        <w:rPr>
          <w:rFonts w:ascii="Arial" w:eastAsia="Times New Roman" w:hAnsi="Arial" w:cs="Arial"/>
          <w:lang w:val="es-ES" w:eastAsia="es-ES"/>
        </w:rPr>
      </w:pPr>
      <w:bookmarkStart w:id="4" w:name="_Toc368189866"/>
      <w:r w:rsidRPr="00CD0A30">
        <w:rPr>
          <w:rFonts w:ascii="Arial" w:eastAsia="Times New Roman" w:hAnsi="Arial" w:cs="Arial"/>
          <w:lang w:val="es-ES" w:eastAsia="es-ES"/>
        </w:rPr>
        <w:t>TRABAJOS PRELIMINARES</w:t>
      </w:r>
      <w:bookmarkEnd w:id="4"/>
      <w:r w:rsidR="00A25E2A">
        <w:rPr>
          <w:rFonts w:ascii="Arial" w:eastAsia="Times New Roman" w:hAnsi="Arial" w:cs="Arial"/>
          <w:lang w:val="es-ES" w:eastAsia="es-ES"/>
        </w:rPr>
        <w:t>.</w:t>
      </w:r>
    </w:p>
    <w:p w:rsidR="00A25E2A" w:rsidRPr="00CD0A30" w:rsidRDefault="00A25E2A" w:rsidP="00CD0A30">
      <w:pPr>
        <w:spacing w:after="0" w:line="240" w:lineRule="auto"/>
        <w:rPr>
          <w:rFonts w:ascii="Arial" w:eastAsia="Times New Roman" w:hAnsi="Arial" w:cs="Arial"/>
          <w:lang w:val="es-ES" w:eastAsia="es-ES"/>
        </w:rPr>
      </w:pPr>
    </w:p>
    <w:p w:rsidR="00CD0A30" w:rsidRPr="00CD0A30" w:rsidRDefault="00CD0A30" w:rsidP="00CD0A30">
      <w:pPr>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Estas actividades comprenden todos aquellos trabajos o actuaciones previas que deberán de desarrollarse, antes de ejecutar los trabajos de instalación de los bajantes pluviales para los diferentes locales o áreas en las estaciones del Corredor Diagonal de Guadalajara.</w:t>
      </w:r>
    </w:p>
    <w:p w:rsidR="00CD0A30" w:rsidRPr="00CD0A30" w:rsidRDefault="00CD0A30" w:rsidP="00CD0A30">
      <w:pPr>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Estos trabajos estarán basados bajo los lineamientos técnicos de las normativas aplicables en la materia tanto municipales, nacionales e internacionales, así como los indicados en esta especificación técnica.</w:t>
      </w:r>
    </w:p>
    <w:p w:rsidR="00CD0A30" w:rsidRPr="00CD0A30" w:rsidRDefault="00CD0A30" w:rsidP="00CD0A30">
      <w:pPr>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Se realizaran reuniones para establecer los procesos y periodos de instalación, con el fin de cumplir en tiempo y forma con el Programa de Obra establecido, también se establecerán los protocolos de las distintas pruebas a realizarse en sitio del sistema, así como los responsables de llevar a cabo y verificar dichas pruebas.</w:t>
      </w:r>
    </w:p>
    <w:p w:rsidR="00CD0A30" w:rsidRPr="00CD0A30" w:rsidRDefault="00CD0A30" w:rsidP="00CD0A30">
      <w:pPr>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 xml:space="preserve">Se supervisara de manera constante la correcta instalación de los materiales que conforman las bajantes pluviales. Se deberá hacer el trazo en primera instancia que permita </w:t>
      </w:r>
      <w:proofErr w:type="spellStart"/>
      <w:r w:rsidRPr="00CD0A30">
        <w:rPr>
          <w:rFonts w:ascii="Arial" w:eastAsia="Times New Roman" w:hAnsi="Arial" w:cs="Arial"/>
          <w:lang w:val="es-ES" w:eastAsia="es-ES"/>
        </w:rPr>
        <w:t>preveer</w:t>
      </w:r>
      <w:proofErr w:type="spellEnd"/>
      <w:r w:rsidRPr="00CD0A30">
        <w:rPr>
          <w:rFonts w:ascii="Arial" w:eastAsia="Times New Roman" w:hAnsi="Arial" w:cs="Arial"/>
          <w:lang w:val="es-ES" w:eastAsia="es-ES"/>
        </w:rPr>
        <w:t xml:space="preserve"> posibles interferencias con las demás especialidades. Así mismo, deberán de colocarse los soportes necesarios que fijarán las tanto las tuberías verticales y  horizontales con las distancias adecuadas según lo indicado en la normatividad correspondiente.</w:t>
      </w:r>
    </w:p>
    <w:p w:rsidR="00CD0A30" w:rsidRPr="00CD0A30" w:rsidRDefault="00CD0A30" w:rsidP="00CD0A30">
      <w:pPr>
        <w:spacing w:after="0" w:line="240" w:lineRule="auto"/>
        <w:rPr>
          <w:rFonts w:ascii="Arial" w:eastAsia="Times New Roman" w:hAnsi="Arial" w:cs="Arial"/>
          <w:lang w:val="es-ES" w:eastAsia="es-ES"/>
        </w:rPr>
      </w:pPr>
    </w:p>
    <w:p w:rsidR="00CD0A30" w:rsidRDefault="00CD0A30" w:rsidP="00CD0A30">
      <w:pPr>
        <w:spacing w:after="0" w:line="240" w:lineRule="auto"/>
        <w:rPr>
          <w:rFonts w:ascii="Arial" w:eastAsia="Times New Roman" w:hAnsi="Arial" w:cs="Arial"/>
          <w:lang w:val="es-ES" w:eastAsia="es-ES"/>
        </w:rPr>
      </w:pPr>
      <w:bookmarkStart w:id="5" w:name="_Toc368189867"/>
      <w:r w:rsidRPr="00CD0A30">
        <w:rPr>
          <w:rFonts w:ascii="Arial" w:eastAsia="Times New Roman" w:hAnsi="Arial" w:cs="Arial"/>
          <w:lang w:val="es-ES" w:eastAsia="es-ES"/>
        </w:rPr>
        <w:t>ALMACENAJE Y TRANSPORTE.</w:t>
      </w:r>
      <w:bookmarkEnd w:id="5"/>
    </w:p>
    <w:p w:rsidR="00A25E2A" w:rsidRPr="00CD0A30" w:rsidRDefault="00A25E2A" w:rsidP="00CD0A30">
      <w:pPr>
        <w:spacing w:after="0" w:line="240" w:lineRule="auto"/>
        <w:rPr>
          <w:rFonts w:ascii="Arial" w:eastAsia="Times New Roman" w:hAnsi="Arial" w:cs="Arial"/>
          <w:lang w:val="es-ES" w:eastAsia="es-ES"/>
        </w:rPr>
      </w:pPr>
    </w:p>
    <w:p w:rsidR="00CD0A30" w:rsidRPr="00CD0A30" w:rsidRDefault="00CD0A30" w:rsidP="00CD0A30">
      <w:pPr>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El almacenaje se deberá de ejecutar en el sitio más cercano al punto de la obra o de la instalación. El área de almacenaje deberá de estar confinada, techada y cerrada para evitar que el material  entre en contacto con elementos que puedan obstruir o taponar los tubos y/o accesorios.</w:t>
      </w:r>
    </w:p>
    <w:p w:rsidR="00CD0A30" w:rsidRPr="00CD0A30" w:rsidRDefault="00CD0A30" w:rsidP="00CD0A30">
      <w:pPr>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Es necesario que el transporte sea en medios adecuados y en dimensiones tales que permitan la correcta ejecución de cada una de las maniobras de carga y descarga sin dañar los materiales y accesorios.</w:t>
      </w:r>
    </w:p>
    <w:p w:rsidR="00CD0A30" w:rsidRPr="00CD0A30" w:rsidRDefault="00CD0A30" w:rsidP="00CD0A30">
      <w:pPr>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Se supervisarán los puntos de almacenaje y que las condiciones sean óptimas para el almacenaje de los materiales y que no sufra ninguna avería hasta su puesta en servicio.</w:t>
      </w:r>
    </w:p>
    <w:p w:rsidR="00CD0A30" w:rsidRPr="00CD0A30" w:rsidRDefault="00CD0A30" w:rsidP="00CD0A30">
      <w:pPr>
        <w:spacing w:after="0" w:line="240" w:lineRule="auto"/>
        <w:ind w:right="-91"/>
        <w:jc w:val="both"/>
        <w:rPr>
          <w:rFonts w:ascii="Arial" w:eastAsia="Times New Roman" w:hAnsi="Arial" w:cs="Arial"/>
          <w:lang w:val="es-ES" w:eastAsia="es-ES"/>
        </w:rPr>
      </w:pPr>
    </w:p>
    <w:p w:rsidR="00CD0A30" w:rsidRPr="00CD0A30" w:rsidRDefault="00CD0A30" w:rsidP="00CD0A30">
      <w:pPr>
        <w:spacing w:after="0" w:line="240" w:lineRule="auto"/>
        <w:rPr>
          <w:rFonts w:ascii="Arial" w:eastAsia="Times New Roman" w:hAnsi="Arial" w:cs="Arial"/>
          <w:lang w:val="es-ES" w:eastAsia="es-ES"/>
        </w:rPr>
      </w:pPr>
      <w:bookmarkStart w:id="6" w:name="_Toc368189868"/>
      <w:r w:rsidRPr="00CD0A30">
        <w:rPr>
          <w:rFonts w:ascii="Arial" w:eastAsia="Times New Roman" w:hAnsi="Arial" w:cs="Arial"/>
          <w:lang w:val="es-ES" w:eastAsia="es-ES"/>
        </w:rPr>
        <w:t>INSTALACIÓN</w:t>
      </w:r>
      <w:bookmarkEnd w:id="6"/>
    </w:p>
    <w:p w:rsidR="00CD0A30" w:rsidRPr="00CD0A30" w:rsidRDefault="00CD0A30" w:rsidP="00CD0A30">
      <w:pPr>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La instalación del equipo contemplará la colocación de los sistemas de fijación, soportes adecuados y según lo indique el proyecto ejecutivo.</w:t>
      </w:r>
    </w:p>
    <w:p w:rsidR="00CD0A30" w:rsidRPr="00CD0A30" w:rsidRDefault="00CD0A30" w:rsidP="00CD0A30">
      <w:pPr>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Así mismo, se deberán de contemplar las conexiones necesarias de acuerdo a lo que indique el proyecto ejecutivo y bajo los lineamientos normativos correspondientes.</w:t>
      </w:r>
    </w:p>
    <w:p w:rsidR="00CD0A30" w:rsidRPr="00CD0A30" w:rsidRDefault="00CD0A30" w:rsidP="00CD0A30">
      <w:pPr>
        <w:spacing w:after="0" w:line="240" w:lineRule="auto"/>
        <w:ind w:right="-91"/>
        <w:jc w:val="both"/>
        <w:rPr>
          <w:rFonts w:ascii="Arial" w:eastAsia="Times New Roman" w:hAnsi="Arial" w:cs="Arial"/>
          <w:lang w:val="es-ES" w:eastAsia="es-ES"/>
        </w:rPr>
      </w:pPr>
    </w:p>
    <w:p w:rsidR="00CD0A30" w:rsidRPr="00CD0A30" w:rsidRDefault="00CD0A30" w:rsidP="00CD0A30">
      <w:pPr>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Así mismo se establecerán los procedimientos para la atención de detalles y averías durante el proceso de montaje y pruebas y durante el periodo de garantía.</w:t>
      </w:r>
    </w:p>
    <w:p w:rsidR="00CD0A30" w:rsidRPr="00CD0A30" w:rsidRDefault="00CD0A30" w:rsidP="00CD0A30">
      <w:pPr>
        <w:spacing w:after="0" w:line="240" w:lineRule="auto"/>
        <w:ind w:right="-91"/>
        <w:jc w:val="both"/>
        <w:rPr>
          <w:rFonts w:ascii="Arial" w:eastAsia="Times New Roman" w:hAnsi="Arial" w:cs="Arial"/>
          <w:highlight w:val="yellow"/>
          <w:lang w:val="es-ES" w:eastAsia="es-ES"/>
        </w:rPr>
      </w:pPr>
    </w:p>
    <w:p w:rsidR="00CD0A30" w:rsidRPr="00CD0A30" w:rsidRDefault="00CD0A30" w:rsidP="00CD0A30">
      <w:pPr>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 xml:space="preserve">El ejecutador de dichos trabajos tendrá a su cargo todos los materiales y accesorios de instalación que los equipos requieran. </w:t>
      </w:r>
    </w:p>
    <w:p w:rsidR="00CD0A30" w:rsidRPr="00CD0A30" w:rsidRDefault="00CD0A30" w:rsidP="00CD0A30">
      <w:pPr>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 xml:space="preserve">Los materiales se almacenarán de tal modo que se asegure la conservación de sus características y aptitudes para su empleo en la obra y de forma que se facilite su inspección. La compañía a cargo de la operación y/o la Entidad Inspectora podrán ordenar, si lo consideran necesario, el uso de plataformas adecuadas, cobertizos o edificios para la protección de aquellos materiales que se requiera. </w:t>
      </w:r>
    </w:p>
    <w:p w:rsidR="00CD0A30" w:rsidRPr="00CD0A30" w:rsidRDefault="00CD0A30" w:rsidP="00CD0A30">
      <w:pPr>
        <w:spacing w:after="0" w:line="240" w:lineRule="auto"/>
        <w:ind w:right="-91"/>
        <w:jc w:val="both"/>
        <w:rPr>
          <w:rFonts w:ascii="Arial" w:eastAsia="Times New Roman" w:hAnsi="Arial" w:cs="Arial"/>
          <w:highlight w:val="yellow"/>
          <w:lang w:val="es-ES" w:eastAsia="es-ES"/>
        </w:rPr>
      </w:pPr>
    </w:p>
    <w:p w:rsidR="00CD0A30" w:rsidRPr="00CD0A30" w:rsidRDefault="00CD0A30" w:rsidP="00CD0A30">
      <w:pPr>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Lo mencionado en el presente Documento y omitido en los planos, o viceversa, habrá de ser ejecutado como si estuviese desarrollo en ambos documentos. En caso de contradicción entre los planos y el Proyecto Ejecutivo, prevalecerá lo prescrito en este último.</w:t>
      </w:r>
    </w:p>
    <w:p w:rsidR="00CD0A30" w:rsidRPr="00CD0A30" w:rsidRDefault="00CD0A30" w:rsidP="00CD0A30">
      <w:pPr>
        <w:spacing w:after="0" w:line="240" w:lineRule="auto"/>
        <w:ind w:right="-91"/>
        <w:jc w:val="both"/>
        <w:rPr>
          <w:rFonts w:ascii="Arial" w:eastAsia="Times New Roman" w:hAnsi="Arial" w:cs="Arial"/>
          <w:highlight w:val="yellow"/>
          <w:lang w:val="es-ES" w:eastAsia="es-ES"/>
        </w:rPr>
      </w:pPr>
    </w:p>
    <w:p w:rsidR="00CD0A30" w:rsidRPr="00CD0A30" w:rsidRDefault="00CD0A30" w:rsidP="00CD0A30">
      <w:pPr>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El instalador de las bajantes estará obligado a poner cuanto antes en conocimiento del Ingeniero Director de las obras, cualquier discrepancia que observe entre los distintos planos del Proyecto o cualquier otra circunstancia surgida durante la ejecución de los trabajos, que diese lugar a posibles modificaciones del Proyecto.</w:t>
      </w:r>
    </w:p>
    <w:p w:rsidR="00CD0A30" w:rsidRPr="00CD0A30" w:rsidRDefault="00CD0A30" w:rsidP="00CD0A30">
      <w:pPr>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Como consecuencia de la información recibida del instalador de las bajantes pluviales, o por propia iniciativa a la vista de las necesidades de la obra, el Director de la misma podrá ordenar y proponer las modificaciones que considere necesarias de acuerdo con el presente Documento y la Legislación vigente sobre la materia.</w:t>
      </w:r>
    </w:p>
    <w:p w:rsidR="00CD0A30" w:rsidRPr="00CD0A30" w:rsidRDefault="00CD0A30" w:rsidP="00CD0A30">
      <w:pPr>
        <w:spacing w:after="0" w:line="240" w:lineRule="auto"/>
        <w:ind w:right="-91"/>
        <w:jc w:val="both"/>
        <w:rPr>
          <w:rFonts w:ascii="Arial" w:eastAsia="Times New Roman" w:hAnsi="Arial" w:cs="Arial"/>
          <w:lang w:val="es-ES" w:eastAsia="es-ES"/>
        </w:rPr>
      </w:pPr>
    </w:p>
    <w:p w:rsidR="00CD0A30" w:rsidRPr="00CD0A30" w:rsidRDefault="00CD0A30" w:rsidP="00CD0A30">
      <w:pPr>
        <w:spacing w:after="0" w:line="240" w:lineRule="auto"/>
        <w:jc w:val="both"/>
        <w:rPr>
          <w:rFonts w:ascii="Arial" w:eastAsia="Times New Roman" w:hAnsi="Arial" w:cs="Arial"/>
          <w:lang w:val="es-ES" w:eastAsia="es-ES"/>
        </w:rPr>
      </w:pPr>
      <w:bookmarkStart w:id="7" w:name="_Toc368189869"/>
      <w:r w:rsidRPr="00CD0A30">
        <w:rPr>
          <w:rFonts w:ascii="Arial" w:eastAsia="Times New Roman" w:hAnsi="Arial" w:cs="Arial"/>
          <w:b/>
          <w:lang w:val="es-ES" w:eastAsia="es-ES"/>
        </w:rPr>
        <w:t>MEDICIÓN</w:t>
      </w:r>
      <w:bookmarkEnd w:id="7"/>
      <w:r w:rsidRPr="00CD0A30">
        <w:rPr>
          <w:rFonts w:ascii="Arial" w:eastAsia="Times New Roman" w:hAnsi="Arial" w:cs="Arial"/>
          <w:b/>
          <w:lang w:val="es-ES" w:eastAsia="es-ES"/>
        </w:rPr>
        <w:t xml:space="preserve">.- </w:t>
      </w:r>
      <w:r w:rsidRPr="00CD0A30">
        <w:rPr>
          <w:rFonts w:ascii="Arial" w:eastAsia="Times New Roman" w:hAnsi="Arial" w:cs="Arial"/>
          <w:lang w:val="es-ES" w:eastAsia="es-ES"/>
        </w:rPr>
        <w:t>Las bajantes pluviales se medirán por lote y contemplará el conjunto de accesorios, tuberías, elementos de conexión, materiales de fijación, trazos, nivelaciones, pruebas que en su conjunto coadyuven al correcto funcionamiento de la bajante pluvial.</w:t>
      </w:r>
    </w:p>
    <w:p w:rsidR="00CD0A30" w:rsidRPr="00CD0A30" w:rsidRDefault="00CD0A30" w:rsidP="00CD0A30">
      <w:pPr>
        <w:tabs>
          <w:tab w:val="left" w:pos="426"/>
        </w:tabs>
        <w:spacing w:after="0" w:line="240" w:lineRule="auto"/>
        <w:ind w:right="-91"/>
        <w:jc w:val="both"/>
        <w:rPr>
          <w:rFonts w:ascii="Arial" w:eastAsia="Times New Roman" w:hAnsi="Arial" w:cs="Arial"/>
          <w:lang w:val="es-ES" w:eastAsia="es-ES"/>
        </w:rPr>
      </w:pPr>
    </w:p>
    <w:p w:rsidR="00CD0A30" w:rsidRPr="003D473F" w:rsidRDefault="00CD0A30" w:rsidP="00CD0A30">
      <w:pPr>
        <w:spacing w:after="0" w:line="240" w:lineRule="auto"/>
        <w:rPr>
          <w:rFonts w:ascii="Arial" w:eastAsia="Times New Roman" w:hAnsi="Arial" w:cs="Arial"/>
          <w:b/>
          <w:lang w:val="es-ES" w:eastAsia="es-ES"/>
        </w:rPr>
      </w:pPr>
      <w:bookmarkStart w:id="8" w:name="_Toc368189870"/>
      <w:r w:rsidRPr="003D473F">
        <w:rPr>
          <w:rFonts w:ascii="Arial" w:eastAsia="Times New Roman" w:hAnsi="Arial" w:cs="Arial"/>
          <w:b/>
          <w:lang w:val="es-ES" w:eastAsia="es-ES"/>
        </w:rPr>
        <w:t>PRUEBAS Y ENSAYO</w:t>
      </w:r>
      <w:bookmarkEnd w:id="8"/>
    </w:p>
    <w:p w:rsidR="00CD0A30" w:rsidRPr="00CD0A30" w:rsidRDefault="00CD0A30" w:rsidP="00CD0A30">
      <w:pPr>
        <w:tabs>
          <w:tab w:val="left" w:pos="426"/>
        </w:tabs>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 xml:space="preserve">Las pruebas y ensayos se realizarán según el protocolo de pruebas propuesto por el instalador y aprobado por la DO y bajo los lineamientos que marquen las normativas vigentes y aplicables. </w:t>
      </w:r>
    </w:p>
    <w:p w:rsidR="00CD0A30" w:rsidRPr="00CD0A30" w:rsidRDefault="00CD0A30" w:rsidP="00CD0A30">
      <w:pPr>
        <w:tabs>
          <w:tab w:val="left" w:pos="426"/>
        </w:tabs>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Se harán las pruebas de hermeticidad, con el equipo conectado a los diversos arreglos de tuberías planteados en el proyecto ejecutivo. Dichas pruebas deberán de garantizar la hermeticidad del sistema, y el correcto funcionamiento de cada uno de los dispositivos y accesorios que conforman el sistema.</w:t>
      </w:r>
    </w:p>
    <w:p w:rsidR="00CD0A30" w:rsidRPr="00CD0A30" w:rsidRDefault="00CD0A30" w:rsidP="00CD0A30">
      <w:pPr>
        <w:tabs>
          <w:tab w:val="left" w:pos="426"/>
        </w:tabs>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Las siguientes pruebas deberán de considerarse como mínimos para el presente concepto y está bajo lo indicado en la normativa aplicable:</w:t>
      </w:r>
    </w:p>
    <w:p w:rsidR="00CD0A30" w:rsidRPr="00CD0A30" w:rsidRDefault="00CD0A30" w:rsidP="00CD0A30">
      <w:pPr>
        <w:tabs>
          <w:tab w:val="left" w:pos="426"/>
        </w:tabs>
        <w:spacing w:after="0" w:line="240" w:lineRule="auto"/>
        <w:ind w:right="-91"/>
        <w:jc w:val="both"/>
        <w:rPr>
          <w:rFonts w:ascii="Arial" w:eastAsia="Times New Roman" w:hAnsi="Arial" w:cs="Arial"/>
          <w:lang w:val="es-ES" w:eastAsia="es-ES"/>
        </w:rPr>
      </w:pPr>
    </w:p>
    <w:p w:rsidR="00CD0A30" w:rsidRPr="00CD0A30" w:rsidRDefault="00CD0A30" w:rsidP="006C56E8">
      <w:pPr>
        <w:numPr>
          <w:ilvl w:val="0"/>
          <w:numId w:val="4"/>
        </w:numPr>
        <w:tabs>
          <w:tab w:val="left" w:pos="426"/>
          <w:tab w:val="left" w:pos="851"/>
          <w:tab w:val="left" w:pos="1134"/>
          <w:tab w:val="left" w:pos="1418"/>
          <w:tab w:val="left" w:pos="1701"/>
        </w:tabs>
        <w:spacing w:after="0" w:line="36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Prueba de hermeticidad de todas las conexiones.</w:t>
      </w:r>
    </w:p>
    <w:p w:rsidR="00CD0A30" w:rsidRPr="00CD0A30" w:rsidRDefault="00CD0A30" w:rsidP="006C56E8">
      <w:pPr>
        <w:numPr>
          <w:ilvl w:val="0"/>
          <w:numId w:val="4"/>
        </w:numPr>
        <w:tabs>
          <w:tab w:val="left" w:pos="426"/>
          <w:tab w:val="left" w:pos="851"/>
          <w:tab w:val="left" w:pos="1134"/>
          <w:tab w:val="left" w:pos="1418"/>
          <w:tab w:val="left" w:pos="1701"/>
        </w:tabs>
        <w:spacing w:after="0" w:line="360" w:lineRule="auto"/>
        <w:ind w:right="-91"/>
        <w:jc w:val="both"/>
        <w:rPr>
          <w:rFonts w:ascii="Arial" w:eastAsia="Times New Roman" w:hAnsi="Arial" w:cs="Arial"/>
          <w:lang w:val="es-ES" w:eastAsia="es-ES"/>
        </w:rPr>
      </w:pPr>
      <w:r w:rsidRPr="00CD0A30">
        <w:rPr>
          <w:rFonts w:ascii="Arial" w:eastAsia="Times New Roman" w:hAnsi="Arial" w:cs="Arial"/>
          <w:lang w:val="es-ES" w:eastAsia="es-ES"/>
        </w:rPr>
        <w:lastRenderedPageBreak/>
        <w:t>Todas la pruebas deberán basarse conforme a lo indicado en la reglamentación local y de acuerdo a las Normas Técnicas Complementarias para Diseño y Ejecución de Obras e Instalaciones Hidráulicas</w:t>
      </w:r>
    </w:p>
    <w:p w:rsidR="00CD0A30" w:rsidRDefault="00CD0A30" w:rsidP="00CD0A30">
      <w:pPr>
        <w:numPr>
          <w:ilvl w:val="0"/>
          <w:numId w:val="4"/>
        </w:numPr>
        <w:tabs>
          <w:tab w:val="left" w:pos="426"/>
          <w:tab w:val="left" w:pos="851"/>
          <w:tab w:val="left" w:pos="1134"/>
          <w:tab w:val="left" w:pos="1418"/>
          <w:tab w:val="left" w:pos="1701"/>
        </w:tabs>
        <w:spacing w:after="0" w:line="240" w:lineRule="auto"/>
        <w:ind w:right="-91"/>
        <w:jc w:val="both"/>
        <w:rPr>
          <w:rFonts w:ascii="Arial" w:eastAsia="Times New Roman" w:hAnsi="Arial" w:cs="Arial"/>
          <w:lang w:val="es-ES" w:eastAsia="es-ES"/>
        </w:rPr>
      </w:pPr>
      <w:r w:rsidRPr="008523FA">
        <w:rPr>
          <w:rFonts w:ascii="Arial" w:eastAsia="Times New Roman" w:hAnsi="Arial" w:cs="Arial"/>
          <w:lang w:val="es-ES" w:eastAsia="es-ES"/>
        </w:rPr>
        <w:t>También se aplican las normas de Ingeniería del Instituto Mexicano del Seguro Social.</w:t>
      </w:r>
      <w:bookmarkStart w:id="9" w:name="_Toc368189871"/>
    </w:p>
    <w:p w:rsidR="008523FA" w:rsidRPr="008523FA" w:rsidRDefault="008523FA" w:rsidP="00CD0A30">
      <w:pPr>
        <w:numPr>
          <w:ilvl w:val="0"/>
          <w:numId w:val="4"/>
        </w:numPr>
        <w:tabs>
          <w:tab w:val="left" w:pos="426"/>
          <w:tab w:val="left" w:pos="851"/>
          <w:tab w:val="left" w:pos="1134"/>
          <w:tab w:val="left" w:pos="1418"/>
          <w:tab w:val="left" w:pos="1701"/>
        </w:tabs>
        <w:spacing w:after="0" w:line="240" w:lineRule="auto"/>
        <w:ind w:right="-91"/>
        <w:jc w:val="both"/>
        <w:rPr>
          <w:rFonts w:ascii="Arial" w:eastAsia="Times New Roman" w:hAnsi="Arial" w:cs="Arial"/>
          <w:lang w:val="es-ES" w:eastAsia="es-ES"/>
        </w:rPr>
      </w:pPr>
    </w:p>
    <w:p w:rsidR="00CD0A30" w:rsidRPr="00CD0A30" w:rsidRDefault="00CD0A30" w:rsidP="008523FA">
      <w:pPr>
        <w:spacing w:after="0" w:line="240" w:lineRule="auto"/>
        <w:jc w:val="both"/>
        <w:rPr>
          <w:rFonts w:ascii="Arial" w:eastAsia="Times New Roman" w:hAnsi="Arial" w:cs="Arial"/>
          <w:lang w:val="es-ES" w:eastAsia="es-ES"/>
        </w:rPr>
      </w:pPr>
      <w:r w:rsidRPr="00A25E2A">
        <w:rPr>
          <w:rFonts w:ascii="Arial" w:eastAsia="Times New Roman" w:hAnsi="Arial" w:cs="Arial"/>
          <w:b/>
          <w:lang w:val="es-ES" w:eastAsia="es-ES"/>
        </w:rPr>
        <w:t>GARANTÍAS DE CALIDAD</w:t>
      </w:r>
      <w:bookmarkEnd w:id="9"/>
      <w:r w:rsidR="008523FA">
        <w:rPr>
          <w:rFonts w:ascii="Arial" w:eastAsia="Times New Roman" w:hAnsi="Arial" w:cs="Arial"/>
          <w:b/>
          <w:lang w:val="es-ES" w:eastAsia="es-ES"/>
        </w:rPr>
        <w:t xml:space="preserve">.- </w:t>
      </w:r>
      <w:r w:rsidRPr="00CD0A30">
        <w:rPr>
          <w:rFonts w:ascii="Arial" w:eastAsia="Times New Roman" w:hAnsi="Arial" w:cs="Arial"/>
          <w:lang w:val="es-ES" w:eastAsia="es-ES"/>
        </w:rPr>
        <w:t>El  proveedor  debe  corresponder  a  una  firma  experimentada  en  la fabricación de este tipo de equipos (5 años de experiencia  como  mínimo).  Esta  experiencia  deberá  ser  acreditada  mediante cartas de certificación de clientes adquirientes de estos equipos, preferentemente, de empresas relacionadas con el Transporte masivo de personas.</w:t>
      </w:r>
    </w:p>
    <w:p w:rsidR="00CD0A30" w:rsidRPr="00CD0A30" w:rsidRDefault="00CD0A30" w:rsidP="00CD0A30">
      <w:pPr>
        <w:spacing w:after="0" w:line="240" w:lineRule="auto"/>
        <w:ind w:right="-91"/>
        <w:jc w:val="both"/>
        <w:rPr>
          <w:rFonts w:ascii="Arial" w:eastAsia="Times New Roman" w:hAnsi="Arial" w:cs="Arial"/>
          <w:lang w:val="es-ES" w:eastAsia="es-ES"/>
        </w:rPr>
      </w:pPr>
    </w:p>
    <w:p w:rsidR="00CD0A30" w:rsidRPr="00CD0A30" w:rsidRDefault="00CD0A30" w:rsidP="00CD0A30">
      <w:pPr>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Por lo tanto el suministrador de los equipos, tendrá absoluta responsabilidad de la ejecución de los trabajos y de su resultado final, al ser instalados los equipos en campo.</w:t>
      </w:r>
    </w:p>
    <w:p w:rsidR="00CD0A30" w:rsidRPr="00CD0A30" w:rsidRDefault="00CD0A30" w:rsidP="00CD0A30">
      <w:pPr>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Cualquier defecto, error o insuficiencia en el diseño, fabricación, material y/o de vicios ocultos en el equipo, materiales y/o mano de obra, deberán ser corregidos por el proveedor, efectuando el propio suministrador o contratista de dichos equipos, el cambio o sustitución de componentes defectuosos sin cargo alguno para la dependencia a cargo de los trabajos.</w:t>
      </w:r>
    </w:p>
    <w:p w:rsidR="00CD0A30" w:rsidRPr="00CD0A30" w:rsidRDefault="00CD0A30" w:rsidP="00CD0A30">
      <w:pPr>
        <w:spacing w:after="0" w:line="240" w:lineRule="auto"/>
        <w:ind w:right="-91"/>
        <w:jc w:val="both"/>
        <w:rPr>
          <w:rFonts w:ascii="Arial" w:eastAsia="Times New Roman" w:hAnsi="Arial" w:cs="Arial"/>
          <w:lang w:val="es-ES" w:eastAsia="es-ES"/>
        </w:rPr>
      </w:pPr>
    </w:p>
    <w:p w:rsidR="00CD0A30" w:rsidRPr="00CD0A30" w:rsidRDefault="008523FA" w:rsidP="008523FA">
      <w:pPr>
        <w:spacing w:after="0" w:line="240" w:lineRule="auto"/>
        <w:jc w:val="both"/>
        <w:rPr>
          <w:rFonts w:ascii="Arial" w:eastAsia="Times New Roman" w:hAnsi="Arial" w:cs="Arial"/>
          <w:lang w:val="es-ES" w:eastAsia="es-ES"/>
        </w:rPr>
      </w:pPr>
      <w:bookmarkStart w:id="10" w:name="_Toc368189872"/>
      <w:r w:rsidRPr="008523FA">
        <w:rPr>
          <w:rFonts w:ascii="Arial" w:eastAsia="Times New Roman" w:hAnsi="Arial" w:cs="Arial"/>
          <w:b/>
          <w:lang w:val="es-ES" w:eastAsia="es-ES"/>
        </w:rPr>
        <w:t>GARANTÍAS TÉCNICAS</w:t>
      </w:r>
      <w:bookmarkEnd w:id="10"/>
      <w:r>
        <w:rPr>
          <w:rFonts w:ascii="Arial" w:eastAsia="Times New Roman" w:hAnsi="Arial" w:cs="Arial"/>
          <w:b/>
          <w:lang w:val="es-ES" w:eastAsia="es-ES"/>
        </w:rPr>
        <w:t xml:space="preserve">.- </w:t>
      </w:r>
      <w:r w:rsidR="00CD0A30" w:rsidRPr="00CD0A30">
        <w:rPr>
          <w:rFonts w:ascii="Arial" w:eastAsia="Times New Roman" w:hAnsi="Arial" w:cs="Arial"/>
          <w:lang w:val="es-ES" w:eastAsia="es-ES"/>
        </w:rPr>
        <w:t>El suministrador de los equipos deberá presentar un documento escrito, aceptando reemplazar materiales  defectuosos  y  aportar  mano  de  obra,  durante  todo  el  periodo  de garantía y sin costo, el citado documento deberá de indicar explícitamente al menos incluirá la siguiente cobertura:</w:t>
      </w:r>
    </w:p>
    <w:p w:rsidR="00CD0A30" w:rsidRPr="00CD0A30" w:rsidRDefault="00CD0A30" w:rsidP="00CD0A30">
      <w:pPr>
        <w:spacing w:after="0" w:line="240" w:lineRule="auto"/>
        <w:ind w:right="-91"/>
        <w:jc w:val="both"/>
        <w:rPr>
          <w:rFonts w:ascii="Arial" w:eastAsia="Times New Roman" w:hAnsi="Arial" w:cs="Arial"/>
          <w:lang w:val="es-ES" w:eastAsia="es-ES"/>
        </w:rPr>
      </w:pPr>
    </w:p>
    <w:p w:rsidR="00CD0A30" w:rsidRPr="00CD0A30" w:rsidRDefault="00CD0A30" w:rsidP="00CD0A30">
      <w:pPr>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Reemplazo de materiales defectuosos y suministro de mano de obra cuando se presenten  fallas  operacionales,  funcionamiento por debajo de los mínimos requeridos, deterioro excesivo, evidencia de que el sistema no será razonablemente mantenible durante la vida útil del resto de las instalaciones, o por desgaste  anormal  considerando  la  intensidad  del  uso,  condiciones  inseguras, ruido  o  vibración  excesivos  y  otras  condiciones  similarmente  insatisfactorias, inusuales o inesperadas.</w:t>
      </w:r>
    </w:p>
    <w:p w:rsidR="00CD0A30" w:rsidRPr="00CD0A30" w:rsidRDefault="00CD0A30" w:rsidP="00CD0A30">
      <w:pPr>
        <w:spacing w:after="0" w:line="240" w:lineRule="auto"/>
        <w:ind w:right="-91"/>
        <w:jc w:val="both"/>
        <w:rPr>
          <w:rFonts w:ascii="Arial" w:eastAsia="Times New Roman" w:hAnsi="Arial" w:cs="Arial"/>
          <w:lang w:val="es-ES" w:eastAsia="es-ES"/>
        </w:rPr>
      </w:pPr>
    </w:p>
    <w:p w:rsidR="00CD0A30" w:rsidRPr="00CD0A30" w:rsidRDefault="00CD0A30" w:rsidP="00CD0A30">
      <w:pPr>
        <w:spacing w:after="0" w:line="240" w:lineRule="auto"/>
        <w:jc w:val="both"/>
        <w:rPr>
          <w:rFonts w:ascii="Arial" w:eastAsia="Times New Roman" w:hAnsi="Arial" w:cs="Arial"/>
          <w:lang w:val="es-ES" w:eastAsia="es-ES"/>
        </w:rPr>
      </w:pPr>
      <w:bookmarkStart w:id="11" w:name="_Toc368189873"/>
      <w:r w:rsidRPr="00CD0A30">
        <w:rPr>
          <w:rFonts w:ascii="Arial" w:eastAsia="Times New Roman" w:hAnsi="Arial" w:cs="Arial"/>
          <w:b/>
          <w:lang w:val="es-ES" w:eastAsia="es-ES"/>
        </w:rPr>
        <w:t>BASE DE PAGO</w:t>
      </w:r>
      <w:bookmarkEnd w:id="11"/>
      <w:r w:rsidRPr="00CD0A30">
        <w:rPr>
          <w:rFonts w:ascii="Arial" w:eastAsia="Times New Roman" w:hAnsi="Arial" w:cs="Arial"/>
          <w:b/>
          <w:lang w:val="es-ES" w:eastAsia="es-ES"/>
        </w:rPr>
        <w:t xml:space="preserve">.- </w:t>
      </w:r>
      <w:r w:rsidRPr="00CD0A30">
        <w:rPr>
          <w:rFonts w:ascii="Arial" w:eastAsia="Times New Roman" w:hAnsi="Arial" w:cs="Arial"/>
          <w:lang w:val="es-ES" w:eastAsia="es-ES"/>
        </w:rPr>
        <w:t>El pago por unidad de obra terminada se hará al precio unitario fijado en el contrato, entendiéndose que las obras correspondientes a los conceptos allí desarrollados, están completamente terminados y ejecutados conforme a las condiciones que indica el proyecto ejecutivo y de acuerdo con las mediciones realizadas en obra con las condiciones también fijadas al efecto.</w:t>
      </w:r>
    </w:p>
    <w:p w:rsidR="00CD0A30" w:rsidRPr="00CD0A30" w:rsidRDefault="00CD0A30" w:rsidP="00CD0A30">
      <w:pPr>
        <w:spacing w:after="0" w:line="240" w:lineRule="auto"/>
        <w:ind w:right="-91"/>
        <w:jc w:val="both"/>
        <w:rPr>
          <w:rFonts w:ascii="Arial" w:eastAsia="Times New Roman" w:hAnsi="Arial" w:cs="Arial"/>
          <w:lang w:val="es-ES" w:eastAsia="es-ES"/>
        </w:rPr>
      </w:pPr>
    </w:p>
    <w:p w:rsidR="00CD0A30" w:rsidRPr="00CD0A30" w:rsidRDefault="00CD0A30" w:rsidP="00CD0A30">
      <w:pPr>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 xml:space="preserve">Los precios incluyen el suministro, transporte a obra, fijación, materiales, desperdicios, mano de obra, herramienta, almacenamiento, limpieza y retiro de material fuera de la obra, pruebas, puesta en marcha y en general todos aquellos trabajos no indicados que sean necesarios para la correcta ejecución y terminación de esta unidad de obra. Los precios serán invariables </w:t>
      </w:r>
      <w:proofErr w:type="spellStart"/>
      <w:r w:rsidR="00184568" w:rsidRPr="00CD0A30">
        <w:rPr>
          <w:rFonts w:ascii="Arial" w:eastAsia="Times New Roman" w:hAnsi="Arial" w:cs="Arial"/>
          <w:lang w:val="es-ES" w:eastAsia="es-ES"/>
        </w:rPr>
        <w:t>cual</w:t>
      </w:r>
      <w:r w:rsidR="00184568">
        <w:rPr>
          <w:rFonts w:ascii="Arial" w:eastAsia="Times New Roman" w:hAnsi="Arial" w:cs="Arial"/>
          <w:lang w:val="es-ES" w:eastAsia="es-ES"/>
        </w:rPr>
        <w:t>es</w:t>
      </w:r>
      <w:r w:rsidR="00184568" w:rsidRPr="00CD0A30">
        <w:rPr>
          <w:rFonts w:ascii="Arial" w:eastAsia="Times New Roman" w:hAnsi="Arial" w:cs="Arial"/>
          <w:lang w:val="es-ES" w:eastAsia="es-ES"/>
        </w:rPr>
        <w:t>quiera</w:t>
      </w:r>
      <w:proofErr w:type="spellEnd"/>
      <w:r w:rsidRPr="00CD0A30">
        <w:rPr>
          <w:rFonts w:ascii="Arial" w:eastAsia="Times New Roman" w:hAnsi="Arial" w:cs="Arial"/>
          <w:lang w:val="es-ES" w:eastAsia="es-ES"/>
        </w:rPr>
        <w:t xml:space="preserve"> sea la procedencia de los materiales y la distancia de transporte.</w:t>
      </w:r>
    </w:p>
    <w:sectPr w:rsidR="00CD0A30" w:rsidRPr="00CD0A30">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0FA1" w:rsidRDefault="00AB0FA1" w:rsidP="00CD0A30">
      <w:pPr>
        <w:spacing w:after="0" w:line="240" w:lineRule="auto"/>
      </w:pPr>
      <w:r>
        <w:separator/>
      </w:r>
    </w:p>
  </w:endnote>
  <w:endnote w:type="continuationSeparator" w:id="0">
    <w:p w:rsidR="00AB0FA1" w:rsidRDefault="00AB0FA1" w:rsidP="00CD0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791457"/>
      <w:docPartObj>
        <w:docPartGallery w:val="Page Numbers (Bottom of Page)"/>
        <w:docPartUnique/>
      </w:docPartObj>
    </w:sdtPr>
    <w:sdtEndPr/>
    <w:sdtContent>
      <w:p w:rsidR="00F26085" w:rsidRDefault="00F26085">
        <w:pPr>
          <w:pStyle w:val="Piedepgina"/>
          <w:jc w:val="right"/>
        </w:pPr>
        <w:r>
          <w:fldChar w:fldCharType="begin"/>
        </w:r>
        <w:r>
          <w:instrText>PAGE   \* MERGEFORMAT</w:instrText>
        </w:r>
        <w:r>
          <w:fldChar w:fldCharType="separate"/>
        </w:r>
        <w:r w:rsidR="008523FA" w:rsidRPr="008523FA">
          <w:rPr>
            <w:noProof/>
            <w:lang w:val="es-ES"/>
          </w:rPr>
          <w:t>1</w:t>
        </w:r>
        <w:r>
          <w:fldChar w:fldCharType="end"/>
        </w:r>
      </w:p>
    </w:sdtContent>
  </w:sdt>
  <w:p w:rsidR="00F26085" w:rsidRDefault="00F2608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0FA1" w:rsidRDefault="00AB0FA1" w:rsidP="00CD0A30">
      <w:pPr>
        <w:spacing w:after="0" w:line="240" w:lineRule="auto"/>
      </w:pPr>
      <w:r>
        <w:separator/>
      </w:r>
    </w:p>
  </w:footnote>
  <w:footnote w:type="continuationSeparator" w:id="0">
    <w:p w:rsidR="00AB0FA1" w:rsidRDefault="00AB0FA1" w:rsidP="00CD0A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3FA" w:rsidRPr="00CD0A30" w:rsidRDefault="008523FA" w:rsidP="008523FA">
    <w:pPr>
      <w:pStyle w:val="Encabezado"/>
      <w:jc w:val="right"/>
      <w:rPr>
        <w:rFonts w:ascii="Arial" w:hAnsi="Arial" w:cs="Arial"/>
        <w:color w:val="000000"/>
      </w:rPr>
    </w:pPr>
    <w:r w:rsidRPr="00CD0A30">
      <w:rPr>
        <w:rFonts w:ascii="Arial" w:hAnsi="Arial" w:cs="Arial"/>
        <w:color w:val="000000"/>
      </w:rPr>
      <w:t>LO-00</w:t>
    </w:r>
    <w:r>
      <w:rPr>
        <w:rFonts w:ascii="Arial" w:hAnsi="Arial" w:cs="Arial"/>
        <w:color w:val="000000"/>
      </w:rPr>
      <w:t>0</w:t>
    </w:r>
    <w:r w:rsidRPr="00CD0A30">
      <w:rPr>
        <w:rFonts w:ascii="Arial" w:hAnsi="Arial" w:cs="Arial"/>
        <w:color w:val="000000"/>
      </w:rPr>
      <w:t>000</w:t>
    </w:r>
    <w:r>
      <w:rPr>
        <w:rFonts w:ascii="Arial" w:hAnsi="Arial" w:cs="Arial"/>
        <w:color w:val="000000"/>
      </w:rPr>
      <w:t>000</w:t>
    </w:r>
    <w:r w:rsidRPr="00CD0A30">
      <w:rPr>
        <w:rFonts w:ascii="Arial" w:hAnsi="Arial" w:cs="Arial"/>
        <w:color w:val="000000"/>
      </w:rPr>
      <w:t>-</w:t>
    </w:r>
    <w:r>
      <w:rPr>
        <w:rFonts w:ascii="Arial" w:hAnsi="Arial" w:cs="Arial"/>
        <w:color w:val="000000"/>
      </w:rPr>
      <w:t>XXX</w:t>
    </w:r>
    <w:r w:rsidRPr="00CD0A30">
      <w:rPr>
        <w:rFonts w:ascii="Arial" w:hAnsi="Arial" w:cs="Arial"/>
        <w:color w:val="000000"/>
      </w:rPr>
      <w:t>-2014</w:t>
    </w:r>
  </w:p>
  <w:p w:rsidR="00F26085" w:rsidRPr="00CD0A30" w:rsidRDefault="00F26085" w:rsidP="00CD0A30">
    <w:pPr>
      <w:tabs>
        <w:tab w:val="center" w:pos="4419"/>
        <w:tab w:val="right" w:pos="8838"/>
      </w:tabs>
      <w:spacing w:after="0" w:line="240" w:lineRule="auto"/>
      <w:jc w:val="right"/>
      <w:rPr>
        <w:rFonts w:ascii="Arial" w:eastAsia="Times New Roman" w:hAnsi="Arial" w:cs="Arial"/>
        <w:lang w:val="es-ES" w:eastAsia="es-ES"/>
      </w:rPr>
    </w:pP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r w:rsidRPr="00CD0A30">
      <w:rPr>
        <w:rFonts w:ascii="Arial" w:eastAsia="MS Mincho" w:hAnsi="Arial" w:cs="Arial"/>
        <w:b/>
        <w:bCs/>
        <w:sz w:val="16"/>
        <w:szCs w:val="20"/>
        <w:lang w:val="es-ES" w:eastAsia="es-ES"/>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p>
  <w:p w:rsidR="00F26085" w:rsidRPr="00CD0A30" w:rsidRDefault="00F26085" w:rsidP="00CD0A30">
    <w:pPr>
      <w:spacing w:after="0" w:line="240" w:lineRule="auto"/>
      <w:jc w:val="center"/>
      <w:rPr>
        <w:rFonts w:ascii="Cambria" w:eastAsia="MS Mincho" w:hAnsi="Cambria" w:cs="Times New Roman"/>
        <w:sz w:val="20"/>
        <w:szCs w:val="20"/>
        <w:lang w:val="es-ES" w:eastAsia="es-ES"/>
      </w:rPr>
    </w:pPr>
    <w:r w:rsidRPr="00CD0A30">
      <w:rPr>
        <w:rFonts w:ascii="Arial" w:eastAsia="Times New Roman" w:hAnsi="Arial" w:cs="Arial"/>
        <w:b/>
        <w:lang w:val="es-ES" w:eastAsia="es-ES"/>
      </w:rPr>
      <w:t>ESPECIFICACIÓNES PARTICULARES</w:t>
    </w:r>
  </w:p>
  <w:p w:rsidR="00F26085" w:rsidRPr="00CD0A30" w:rsidRDefault="00F26085" w:rsidP="00CD0A30">
    <w:pPr>
      <w:spacing w:after="0" w:line="240" w:lineRule="auto"/>
      <w:ind w:left="-426"/>
      <w:jc w:val="center"/>
      <w:rPr>
        <w:rFonts w:ascii="Arial" w:eastAsia="Times New Roman" w:hAnsi="Arial" w:cs="Arial"/>
        <w:b/>
        <w:lang w:val="es-ES" w:eastAsia="es-ES"/>
      </w:rPr>
    </w:pPr>
    <w:r w:rsidRPr="00CD0A30">
      <w:rPr>
        <w:rFonts w:ascii="Arial" w:eastAsia="Times New Roman" w:hAnsi="Arial" w:cs="Arial"/>
        <w:b/>
        <w:lang w:val="es-ES" w:eastAsia="es-ES"/>
      </w:rPr>
      <w:t>Anexo 1</w:t>
    </w:r>
  </w:p>
  <w:p w:rsidR="00F26085" w:rsidRDefault="00F2608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0AF3383C"/>
    <w:multiLevelType w:val="hybridMultilevel"/>
    <w:tmpl w:val="9230B822"/>
    <w:lvl w:ilvl="0" w:tplc="9B72DE96">
      <w:start w:val="1"/>
      <w:numFmt w:val="bullet"/>
      <w:pStyle w:val="Vieta"/>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9">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1">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1CB503FD"/>
    <w:multiLevelType w:val="multilevel"/>
    <w:tmpl w:val="00A86578"/>
    <w:name w:val="APÉNDICES2"/>
    <w:lvl w:ilvl="0">
      <w:start w:val="1"/>
      <w:numFmt w:val="decimal"/>
      <w:lvlText w:val="%1"/>
      <w:lvlJc w:val="left"/>
      <w:pPr>
        <w:ind w:left="432" w:hanging="432"/>
      </w:pPr>
      <w:rPr>
        <w:rFonts w:hint="default"/>
      </w:rPr>
    </w:lvl>
    <w:lvl w:ilvl="1">
      <w:start w:val="1"/>
      <w:numFmt w:val="decimal"/>
      <w:lvlText w:val="%1.%2"/>
      <w:lvlJc w:val="left"/>
      <w:pPr>
        <w:ind w:left="787" w:hanging="219"/>
      </w:pPr>
      <w:rPr>
        <w:rFonts w:hint="default"/>
      </w:rPr>
    </w:lvl>
    <w:lvl w:ilvl="2">
      <w:start w:val="1"/>
      <w:numFmt w:val="decimal"/>
      <w:lvlText w:val="%1.%2.%3"/>
      <w:lvlJc w:val="left"/>
      <w:pPr>
        <w:ind w:left="720" w:firstLine="0"/>
      </w:pPr>
      <w:rPr>
        <w:rFonts w:hint="default"/>
      </w:rPr>
    </w:lvl>
    <w:lvl w:ilvl="3">
      <w:start w:val="1"/>
      <w:numFmt w:val="decimal"/>
      <w:lvlText w:val="%1.%2.%3.%4"/>
      <w:lvlJc w:val="left"/>
      <w:pPr>
        <w:tabs>
          <w:tab w:val="num" w:pos="1077"/>
        </w:tabs>
        <w:ind w:left="864" w:firstLine="213"/>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77"/>
        </w:tabs>
        <w:ind w:left="1008" w:firstLine="69"/>
      </w:pPr>
      <w:rPr>
        <w:rFonts w:hint="default"/>
      </w:rPr>
    </w:lvl>
    <w:lvl w:ilvl="5">
      <w:start w:val="1"/>
      <w:numFmt w:val="decimal"/>
      <w:lvlText w:val="%1.%2.%3.%4.%5.%6"/>
      <w:lvlJc w:val="left"/>
      <w:pPr>
        <w:ind w:left="1152" w:hanging="7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4">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pStyle w:val="EstiloTITULO-3Arial"/>
      <w:lvlText w:val="%1.%2.%3."/>
      <w:lvlJc w:val="left"/>
      <w:pPr>
        <w:tabs>
          <w:tab w:val="num" w:pos="1440"/>
        </w:tabs>
        <w:ind w:left="1224" w:hanging="504"/>
      </w:pPr>
      <w:rPr>
        <w:rFonts w:hint="default"/>
        <w:lang w:val="es-ES_tradnl"/>
      </w:rPr>
    </w:lvl>
    <w:lvl w:ilvl="3">
      <w:start w:val="1"/>
      <w:numFmt w:val="decimal"/>
      <w:lvlText w:val="%1.%2.%3.%4."/>
      <w:lvlJc w:val="left"/>
      <w:pPr>
        <w:tabs>
          <w:tab w:val="num" w:pos="1790"/>
        </w:tabs>
        <w:ind w:left="135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20">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21">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25">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26">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27">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18"/>
  </w:num>
  <w:num w:numId="2">
    <w:abstractNumId w:val="27"/>
  </w:num>
  <w:num w:numId="3">
    <w:abstractNumId w:val="9"/>
  </w:num>
  <w:num w:numId="4">
    <w:abstractNumId w:val="26"/>
  </w:num>
  <w:num w:numId="5">
    <w:abstractNumId w:val="7"/>
  </w:num>
  <w:num w:numId="6">
    <w:abstractNumId w:val="20"/>
  </w:num>
  <w:num w:numId="7">
    <w:abstractNumId w:val="24"/>
  </w:num>
  <w:num w:numId="8">
    <w:abstractNumId w:val="10"/>
  </w:num>
  <w:num w:numId="9">
    <w:abstractNumId w:val="23"/>
  </w:num>
  <w:num w:numId="10">
    <w:abstractNumId w:val="19"/>
  </w:num>
  <w:num w:numId="11">
    <w:abstractNumId w:val="5"/>
  </w:num>
  <w:num w:numId="12">
    <w:abstractNumId w:val="11"/>
  </w:num>
  <w:num w:numId="13">
    <w:abstractNumId w:val="22"/>
  </w:num>
  <w:num w:numId="14">
    <w:abstractNumId w:val="28"/>
  </w:num>
  <w:num w:numId="15">
    <w:abstractNumId w:val="17"/>
  </w:num>
  <w:num w:numId="16">
    <w:abstractNumId w:val="16"/>
  </w:num>
  <w:num w:numId="17">
    <w:abstractNumId w:val="21"/>
  </w:num>
  <w:num w:numId="18">
    <w:abstractNumId w:val="14"/>
  </w:num>
  <w:num w:numId="19">
    <w:abstractNumId w:val="2"/>
  </w:num>
  <w:num w:numId="20">
    <w:abstractNumId w:val="1"/>
  </w:num>
  <w:num w:numId="21">
    <w:abstractNumId w:val="0"/>
  </w:num>
  <w:num w:numId="22">
    <w:abstractNumId w:val="8"/>
  </w:num>
  <w:num w:numId="23">
    <w:abstractNumId w:val="4"/>
  </w:num>
  <w:num w:numId="24">
    <w:abstractNumId w:val="3"/>
    <w:lvlOverride w:ilvl="0">
      <w:lvl w:ilvl="0">
        <w:numFmt w:val="bullet"/>
        <w:pStyle w:val="Logro"/>
        <w:lvlText w:val="•"/>
        <w:legacy w:legacy="1" w:legacySpace="0" w:legacyIndent="0"/>
        <w:lvlJc w:val="left"/>
        <w:rPr>
          <w:rFonts w:ascii="Arial" w:hAnsi="Arial" w:hint="default"/>
          <w:sz w:val="16"/>
        </w:rPr>
      </w:lvl>
    </w:lvlOverride>
  </w:num>
  <w:num w:numId="25">
    <w:abstractNumId w:val="25"/>
  </w:num>
  <w:num w:numId="26">
    <w:abstractNumId w:val="15"/>
  </w:num>
  <w:num w:numId="27">
    <w:abstractNumId w:val="13"/>
  </w:num>
  <w:num w:numId="28">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A30"/>
    <w:rsid w:val="0000184E"/>
    <w:rsid w:val="000D2006"/>
    <w:rsid w:val="00184568"/>
    <w:rsid w:val="001D18A2"/>
    <w:rsid w:val="00315C8F"/>
    <w:rsid w:val="0032753C"/>
    <w:rsid w:val="003D473F"/>
    <w:rsid w:val="004E5B6D"/>
    <w:rsid w:val="006058B6"/>
    <w:rsid w:val="00613EF5"/>
    <w:rsid w:val="006B7546"/>
    <w:rsid w:val="006C56E8"/>
    <w:rsid w:val="00747F51"/>
    <w:rsid w:val="008523FA"/>
    <w:rsid w:val="009D4929"/>
    <w:rsid w:val="00A25E2A"/>
    <w:rsid w:val="00AB0FA1"/>
    <w:rsid w:val="00C73957"/>
    <w:rsid w:val="00CC7CC7"/>
    <w:rsid w:val="00CD0A30"/>
    <w:rsid w:val="00F26085"/>
    <w:rsid w:val="00F26CA5"/>
    <w:rsid w:val="00F373E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5</Pages>
  <Words>1382</Words>
  <Characters>7603</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ANIKA_</dc:creator>
  <cp:lastModifiedBy>Cortes Cervantes, Claudio</cp:lastModifiedBy>
  <cp:revision>10</cp:revision>
  <dcterms:created xsi:type="dcterms:W3CDTF">2014-04-14T13:30:00Z</dcterms:created>
  <dcterms:modified xsi:type="dcterms:W3CDTF">2014-04-15T22:04:00Z</dcterms:modified>
</cp:coreProperties>
</file>